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single"/>
        </w:rPr>
        <w:t>予算の範囲内で</w:t>
      </w:r>
      <w:r w:rsidR="00C541DE" w:rsidRPr="005707D2">
        <w:rPr>
          <w:rFonts w:asciiTheme="majorEastAsia" w:eastAsiaTheme="majorEastAsia" w:hAnsiTheme="majorEastAsia" w:hint="eastAsia"/>
          <w:sz w:val="20"/>
          <w:szCs w:val="20"/>
          <w:u w:val="single"/>
        </w:rPr>
        <w:t>コンサルタント</w:t>
      </w:r>
      <w:r w:rsidRPr="005707D2">
        <w:rPr>
          <w:rFonts w:asciiTheme="majorEastAsia" w:eastAsiaTheme="majorEastAsia" w:hAnsiTheme="majorEastAsia" w:hint="eastAsia"/>
          <w:sz w:val="20"/>
          <w:szCs w:val="20"/>
          <w:u w:val="single"/>
        </w:rPr>
        <w:t>が活動しますので</w:t>
      </w:r>
      <w:r w:rsidR="00C541DE" w:rsidRPr="005707D2">
        <w:rPr>
          <w:rFonts w:asciiTheme="majorEastAsia" w:eastAsiaTheme="majorEastAsia" w:hAnsiTheme="majorEastAsia" w:hint="eastAsia"/>
          <w:sz w:val="20"/>
          <w:szCs w:val="20"/>
          <w:u w:val="single"/>
        </w:rPr>
        <w:t>、全ての課題解決にお応え</w:t>
      </w:r>
      <w:r w:rsidRPr="005707D2">
        <w:rPr>
          <w:rFonts w:asciiTheme="majorEastAsia" w:eastAsiaTheme="majorEastAsia" w:hAnsiTheme="majorEastAsia" w:hint="eastAsia"/>
          <w:sz w:val="20"/>
          <w:szCs w:val="20"/>
          <w:u w:val="single"/>
        </w:rPr>
        <w:t>できる</w:t>
      </w:r>
      <w:r w:rsidR="00C541DE" w:rsidRPr="005707D2">
        <w:rPr>
          <w:rFonts w:asciiTheme="majorEastAsia" w:eastAsiaTheme="majorEastAsia" w:hAnsiTheme="majorEastAsia" w:hint="eastAsia"/>
          <w:sz w:val="20"/>
          <w:szCs w:val="20"/>
          <w:u w:val="single"/>
        </w:rPr>
        <w:t>ものではありません。</w:t>
      </w:r>
      <w:r w:rsidRPr="005707D2">
        <w:rPr>
          <w:rFonts w:asciiTheme="majorEastAsia" w:eastAsiaTheme="majorEastAsia" w:hAnsiTheme="majorEastAsia" w:hint="eastAsia"/>
          <w:sz w:val="20"/>
          <w:szCs w:val="20"/>
          <w:u w:val="single"/>
        </w:rPr>
        <w:t>また、内容によっては得手不得手があることも</w:t>
      </w:r>
      <w:r w:rsidR="002A6F6B">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ただし、両方エントリーすることを妨げるものではありません。</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E96B5A" w:rsidRDefault="00AB668A" w:rsidP="00E96B5A">
      <w:pPr>
        <w:jc w:val="righ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E96B5A">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76455E">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76455E">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76455E">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p>
          <w:p w:rsidR="00AB668A" w:rsidRPr="00AB668A" w:rsidRDefault="00F06C80" w:rsidP="00295417">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bookmarkStart w:id="0" w:name="_GoBack"/>
            <w:bookmarkEnd w:id="0"/>
            <w:r>
              <w:rPr>
                <w:rFonts w:asciiTheme="majorEastAsia" w:eastAsiaTheme="majorEastAsia" w:hAnsiTheme="majorEastAsia" w:hint="eastAsia"/>
                <w:sz w:val="20"/>
                <w:szCs w:val="20"/>
              </w:rPr>
              <w:t>５</w:t>
            </w:r>
            <w:r w:rsidR="002A6F6B">
              <w:rPr>
                <w:rFonts w:asciiTheme="majorEastAsia" w:eastAsiaTheme="majorEastAsia" w:hAnsiTheme="majorEastAsia" w:hint="eastAsia"/>
                <w:sz w:val="20"/>
                <w:szCs w:val="20"/>
              </w:rPr>
              <w:t>年度の計画をご記載ください（可能な範囲で）。</w:t>
            </w:r>
          </w:p>
        </w:tc>
      </w:tr>
      <w:tr w:rsidR="00E96B5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tc>
      </w:tr>
      <w:tr w:rsidR="00E96B5A" w:rsidRPr="00D51DDD" w:rsidTr="00AB668A">
        <w:trPr>
          <w:trHeight w:val="457"/>
          <w:jc w:val="center"/>
        </w:trPr>
        <w:tc>
          <w:tcPr>
            <w:tcW w:w="5000" w:type="pct"/>
            <w:gridSpan w:val="4"/>
            <w:shd w:val="clear" w:color="auto" w:fill="FFC000"/>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コンサルタントに支援してもらいたい内容</w:t>
            </w:r>
          </w:p>
        </w:tc>
      </w:tr>
      <w:tr w:rsidR="00E96B5A" w:rsidTr="00A91589">
        <w:trPr>
          <w:trHeight w:val="532"/>
          <w:jc w:val="center"/>
        </w:trPr>
        <w:tc>
          <w:tcPr>
            <w:tcW w:w="811" w:type="pct"/>
            <w:shd w:val="clear" w:color="auto" w:fill="DEEAF6" w:themeFill="accent1" w:themeFillTint="33"/>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メニュー選択</w:t>
            </w:r>
          </w:p>
        </w:tc>
        <w:tc>
          <w:tcPr>
            <w:tcW w:w="4189" w:type="pct"/>
            <w:gridSpan w:val="3"/>
            <w:shd w:val="clear" w:color="auto" w:fill="auto"/>
            <w:vAlign w:val="center"/>
          </w:tcPr>
          <w:p w:rsidR="00E96B5A" w:rsidRPr="00BE643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「生産工程改善」or「新事業展開」　　　　　　　　　　</w:t>
            </w: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tc>
      </w:tr>
      <w:tr w:rsidR="00E96B5A" w:rsidTr="003475A8">
        <w:trPr>
          <w:trHeight w:val="558"/>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②取組状況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Pr="00F06C1E" w:rsidRDefault="00E96B5A" w:rsidP="00E96B5A">
            <w:pPr>
              <w:rPr>
                <w:rFonts w:asciiTheme="majorEastAsia" w:eastAsiaTheme="majorEastAsia" w:hAnsiTheme="majorEastAsia"/>
                <w:sz w:val="20"/>
                <w:szCs w:val="20"/>
              </w:rPr>
            </w:pPr>
          </w:p>
        </w:tc>
      </w:tr>
      <w:tr w:rsidR="00E96B5A" w:rsidTr="00A91589">
        <w:trPr>
          <w:trHeight w:val="1975"/>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本件の課題</w:t>
            </w:r>
          </w:p>
          <w:p w:rsidR="00E96B5A" w:rsidRPr="00473B2C"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（コンサルタントに求める役割）</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95417"/>
    <w:rsid w:val="002A11F7"/>
    <w:rsid w:val="002A6F6B"/>
    <w:rsid w:val="00313736"/>
    <w:rsid w:val="003475A8"/>
    <w:rsid w:val="00352A7B"/>
    <w:rsid w:val="003709B5"/>
    <w:rsid w:val="00382637"/>
    <w:rsid w:val="003A5B92"/>
    <w:rsid w:val="003B54E7"/>
    <w:rsid w:val="003E2725"/>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3AF8"/>
    <w:rsid w:val="0051555A"/>
    <w:rsid w:val="00515D9C"/>
    <w:rsid w:val="005212D1"/>
    <w:rsid w:val="00523E17"/>
    <w:rsid w:val="00531C0B"/>
    <w:rsid w:val="00534740"/>
    <w:rsid w:val="005707D2"/>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E52E1"/>
    <w:rsid w:val="00703F22"/>
    <w:rsid w:val="00753017"/>
    <w:rsid w:val="0076455E"/>
    <w:rsid w:val="00771168"/>
    <w:rsid w:val="007764FA"/>
    <w:rsid w:val="007A0078"/>
    <w:rsid w:val="007A1248"/>
    <w:rsid w:val="007A6BFE"/>
    <w:rsid w:val="007B6A1F"/>
    <w:rsid w:val="007D6182"/>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C5724"/>
    <w:rsid w:val="009D5FB0"/>
    <w:rsid w:val="009E2CF9"/>
    <w:rsid w:val="009F5560"/>
    <w:rsid w:val="00A3352A"/>
    <w:rsid w:val="00A41BA2"/>
    <w:rsid w:val="00A66DB3"/>
    <w:rsid w:val="00A91589"/>
    <w:rsid w:val="00AB2A4E"/>
    <w:rsid w:val="00AB668A"/>
    <w:rsid w:val="00AD616A"/>
    <w:rsid w:val="00AF6D69"/>
    <w:rsid w:val="00B01DD3"/>
    <w:rsid w:val="00B041F4"/>
    <w:rsid w:val="00B312A1"/>
    <w:rsid w:val="00B63D65"/>
    <w:rsid w:val="00B851FE"/>
    <w:rsid w:val="00B85235"/>
    <w:rsid w:val="00BA1A2E"/>
    <w:rsid w:val="00BD27EA"/>
    <w:rsid w:val="00BE643A"/>
    <w:rsid w:val="00BF1C53"/>
    <w:rsid w:val="00BF5F33"/>
    <w:rsid w:val="00C25724"/>
    <w:rsid w:val="00C450D9"/>
    <w:rsid w:val="00C541DE"/>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96B5A"/>
    <w:rsid w:val="00EB00B6"/>
    <w:rsid w:val="00EB0300"/>
    <w:rsid w:val="00EB2ED3"/>
    <w:rsid w:val="00EE3001"/>
    <w:rsid w:val="00EE4635"/>
    <w:rsid w:val="00EF7AA5"/>
    <w:rsid w:val="00F0694C"/>
    <w:rsid w:val="00F06C1E"/>
    <w:rsid w:val="00F06C80"/>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EB15603"/>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1365-E640-4BD2-A72D-CA398659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大森翔平</dc:creator>
  <cp:lastModifiedBy>User</cp:lastModifiedBy>
  <cp:revision>8</cp:revision>
  <cp:lastPrinted>2021-09-30T09:13:00Z</cp:lastPrinted>
  <dcterms:created xsi:type="dcterms:W3CDTF">2021-10-01T00:43:00Z</dcterms:created>
  <dcterms:modified xsi:type="dcterms:W3CDTF">2023-03-31T05:04:00Z</dcterms:modified>
</cp:coreProperties>
</file>